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865438B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Konzervatorska praksa I.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BA2A0A" w:rsidR="004B553E" w:rsidRPr="0017531F" w:rsidRDefault="00D750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4CD281D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studij povijesti umjetnosti – Muzejsko-galerijski i konzervtorski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25A422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317BB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3D3A4C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5AC4249" w:rsidR="00453362" w:rsidRPr="0017531F" w:rsidRDefault="00CC7BC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404EDB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Gradski muzej Makarska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A5FE986" w:rsidR="00453362" w:rsidRPr="0017531F" w:rsidRDefault="00D750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E9EE669" w:rsidR="00453362" w:rsidRPr="0017531F" w:rsidRDefault="00D7509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D7509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8CB9284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Završen prijediplomski studij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366F6E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11C37F7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F2F183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7A08937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A66A6E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40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8CCDFD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16E21A0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8BA420" w14:textId="77777777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primijeniti raznovrsne odgovarajuće pristupe i metode vrjednovanja ishoda učenja</w:t>
            </w:r>
          </w:p>
          <w:p w14:paraId="37244946" w14:textId="77777777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koristiti svrhovito informacijsku i komunikacijsku obrazovnu tehnologiju u radu sa studentima</w:t>
            </w:r>
          </w:p>
          <w:p w14:paraId="061BE0C5" w14:textId="2977FE14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primjena znanja i vještine stečene u akademskom okruženju u stvarnim životnim situacijama i povezivanje sa svijetom rada</w:t>
            </w:r>
          </w:p>
          <w:p w14:paraId="768A8CFA" w14:textId="77777777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primjenjivati različite socijalne oblike rada koji motiviraju studente i potiču ih na aktivno uključivanje u proces učenja te na međusobnu suradnju</w:t>
            </w:r>
          </w:p>
          <w:p w14:paraId="3C4F417D" w14:textId="403839AC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steći vještine samoreguliranoga učenja s naglaskom na razvoj samostalnosti i odgovornosti u radu</w:t>
            </w:r>
          </w:p>
          <w:p w14:paraId="47903D30" w14:textId="77777777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povezati u poučavanju ostale interdisciplinarne sadržaje i teme s predmetom koji se poučava</w:t>
            </w:r>
          </w:p>
          <w:p w14:paraId="0388400B" w14:textId="373D50D4" w:rsidR="00C966E3" w:rsidRPr="00C966E3" w:rsidRDefault="00C966E3" w:rsidP="00C966E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svrsishodno i učinkovito primjeniti spoznajne vještine, metode, instrumente, alate i materijale svojstvene specifičnoj temi</w:t>
            </w:r>
          </w:p>
          <w:p w14:paraId="13E2A08B" w14:textId="4652A6D6" w:rsidR="00310F9A" w:rsidRPr="00C966E3" w:rsidRDefault="00C966E3" w:rsidP="00FF102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966E3">
              <w:rPr>
                <w:rFonts w:ascii="Merriweather" w:hAnsi="Merriweather" w:cs="Times New Roman"/>
                <w:sz w:val="16"/>
                <w:szCs w:val="16"/>
              </w:rPr>
              <w:t>primjenjivati vještine učenja koje omogućavaju cjeloživotno učenje i uspješan daljnji razvoj studenta u akademskoj disciplini i znanosti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CC7BC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E954C0A" w14:textId="77777777" w:rsidR="00CC7BC4" w:rsidRPr="00CC7BC4" w:rsidRDefault="00CC7BC4" w:rsidP="00CC7BC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t>procijeniti i obrazložiti sličnosti i razlike među određenim povijesnoumjetničkim i teorijskim idejama u povijesno i teritorijalno razlučivim pojavama i razdobljima</w:t>
            </w:r>
          </w:p>
          <w:p w14:paraId="6EE09644" w14:textId="77777777" w:rsidR="00CC7BC4" w:rsidRDefault="00CC7BC4" w:rsidP="00CC7BC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lastRenderedPageBreak/>
              <w:t>koristiti i kritički prosuditi osnovne koncepte muzeologije, muzejsko-galerijske prakse, zaštite kulturne baštine i konzervacije</w:t>
            </w:r>
          </w:p>
          <w:p w14:paraId="68F0E09E" w14:textId="77777777" w:rsidR="00CC7BC4" w:rsidRDefault="00CC7BC4" w:rsidP="00CC7BC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t>definirati i razlikovati povijesnoumjetničke metode analize i interpretacije umjetničkih djela i pojava</w:t>
            </w:r>
          </w:p>
          <w:p w14:paraId="62E52601" w14:textId="77777777" w:rsidR="00CC7BC4" w:rsidRDefault="00CC7BC4" w:rsidP="00FF102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t>na naprednoj razini te znati prepoznati, odabrati i koristiti različite pristupe u metodologiji znanstvenog istraživanja</w:t>
            </w:r>
          </w:p>
          <w:p w14:paraId="76213470" w14:textId="77777777" w:rsidR="00CC7BC4" w:rsidRDefault="00CC7BC4" w:rsidP="00FF102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t>koristiti teorijsko znanje o muzeologiji, zaštiti i konzervaciji baštine u muzejsko-galerijskim i konzervatorskim ustanovama</w:t>
            </w:r>
          </w:p>
          <w:p w14:paraId="68AFEBE2" w14:textId="77777777" w:rsidR="00CC7BC4" w:rsidRDefault="00CC7BC4" w:rsidP="00FF102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t>steći iskustvo i vještine izvođenja stručnih poslova u polju muzeologije i zaštite kulturne baštine</w:t>
            </w:r>
          </w:p>
          <w:p w14:paraId="12CA2F78" w14:textId="7064DE45" w:rsidR="00CC7BC4" w:rsidRPr="00CC7BC4" w:rsidRDefault="00CC7BC4" w:rsidP="00FF102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sz w:val="16"/>
                <w:szCs w:val="16"/>
              </w:rPr>
              <w:t>usvojiti načela profesionalne etike u muzejsko-galerijskom i konzervatorskom radu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F23080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39CF031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A7C2570" w:rsidR="00FC2198" w:rsidRPr="0017531F" w:rsidRDefault="00C966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 ovog kolegija nema ispita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A01EE7E" w14:textId="672739A1" w:rsidR="00FA69E3" w:rsidRDefault="00FA69E3" w:rsidP="00D7509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Konzervatosrka praksa je obavezan kolegij kojeg ovisno o izboru, a po programu Diplomskog studija povijesti umjetnosti, mogu upisati i studenti općeg i nastavničkog smjera. Način izvođenja studentske prakse osmišljen je kao zajednički projekt studenata, profesora i vanjskih mentora, koji će primjenjujući niz praktičnih vještima dostaviti gotov produkt svog rada. Prema tome,</w:t>
            </w:r>
            <w:r w:rsidRPr="00FA69E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FA69E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azrada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prakse usmjerena je na aktivnosti </w:t>
            </w:r>
            <w:r w:rsidRPr="00FA69E3">
              <w:rPr>
                <w:rFonts w:ascii="Merriweather" w:eastAsia="MS Gothic" w:hAnsi="Merriweather" w:cs="Times New Roman"/>
                <w:sz w:val="16"/>
                <w:szCs w:val="16"/>
              </w:rPr>
              <w:t>koje osnažuju ulogu studenata kao aktivnih sudionika obrazovnog procesa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Temeljni cilj je aktivno povezivanje stečenih znanja s praktičnim vještinama, a sve u svrhu povezivanja studenata s tržištem rada. </w:t>
            </w:r>
          </w:p>
          <w:p w14:paraId="6C2EFFE3" w14:textId="1A8B3877" w:rsidR="00DF39D0" w:rsidRPr="00DF39D0" w:rsidRDefault="00FA69E3" w:rsidP="00D7509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Ovogodišnja t</w:t>
            </w:r>
            <w:r w:rsidR="00DF39D0" w:rsidRPr="00DF39D0">
              <w:rPr>
                <w:rFonts w:ascii="Merriweather" w:eastAsia="MS Gothic" w:hAnsi="Merriweather" w:cs="Times New Roman"/>
                <w:sz w:val="16"/>
                <w:szCs w:val="16"/>
              </w:rPr>
              <w:t>ema nastavnog projekta je istraživanje i praktična primjena triju osnovnih konzervatorskih metoda: valorizacija građevina građanske elite s kraja 19. i početaka 20. stoljeća, revitalizacija graditeljske baštine kroz interpretaciju te analiza interpolacija moderne izgradnje unutar povijesnog urbanog tkiva grada. Makarska, sa svojom bogatom arhitektonskom baštinom, sadrži niz značajnih građevina javne, sakralne i stambene namjene te urbanističkih rješenja. Od osobite važnosti za početak 20. stoljeća je aktivnost prve makarske slikarice Biance Invernizzi (1895. – 1990.), koja je tijekom svog kratkog opusa portretirala pripadnike makarskog građanskog sloja. Proučavanjem njezine slikarske biografije, nastale pod velikim utjecajem mentora Emanuela Vidovića, upotpunit će saznanja o životu, kulturi, modi i svakodnevnom životi makarskog građanskog sloja.</w:t>
            </w:r>
          </w:p>
          <w:p w14:paraId="597A2AFE" w14:textId="77777777" w:rsidR="00FA69E3" w:rsidRPr="00FA69E3" w:rsidRDefault="00FA69E3" w:rsidP="00D7509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CILJ ISTRAŽIVANJA: </w:t>
            </w:r>
          </w:p>
          <w:p w14:paraId="3ED04956" w14:textId="77777777" w:rsidR="00FA69E3" w:rsidRPr="00FA69E3" w:rsidRDefault="00FA69E3" w:rsidP="00D7509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sz w:val="16"/>
                <w:szCs w:val="16"/>
              </w:rPr>
              <w:t>Valorizacija i interpretacija kulturne baštine s kraja 19. i početaka 20. stoljeća kroz horizontalnu i vertikalnu stratigrafiju urbanih, stilskih i društvenih karakteristika.</w:t>
            </w:r>
          </w:p>
          <w:p w14:paraId="579A33C5" w14:textId="77777777" w:rsidR="00FA69E3" w:rsidRPr="00FA69E3" w:rsidRDefault="00FA69E3" w:rsidP="00D7509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ISTRAŽIVAČKI PROBLEM: </w:t>
            </w:r>
          </w:p>
          <w:p w14:paraId="232A0C09" w14:textId="0B714F7D" w:rsidR="00FC2198" w:rsidRPr="0017531F" w:rsidRDefault="00FA69E3" w:rsidP="00D7509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sz w:val="16"/>
                <w:szCs w:val="16"/>
              </w:rPr>
              <w:t>Arhitektonske interpolacije u starije urbano tkivo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2ED605" w14:textId="77777777" w:rsidR="00FA69E3" w:rsidRP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TIJEK ISTRAŽIVANJA:</w:t>
            </w:r>
          </w:p>
          <w:p w14:paraId="545CC59F" w14:textId="79D5933B" w:rsidR="00C966E3" w:rsidRPr="00C966E3" w:rsidRDefault="00C966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1. Upoznavanje s problematikom na primjeru komparativne građe </w:t>
            </w:r>
            <w:r w:rsidRPr="00C966E3">
              <w:rPr>
                <w:rFonts w:ascii="Merriweather" w:eastAsia="MS Gothic" w:hAnsi="Merriweather" w:cs="Times New Roman"/>
                <w:bCs/>
                <w:iCs/>
                <w:sz w:val="16"/>
                <w:szCs w:val="16"/>
              </w:rPr>
              <w:t>(Konzervatorski odjel Šibenik; mentor: dr. sc. Ivo Glavaš)</w:t>
            </w:r>
          </w:p>
          <w:p w14:paraId="0FD54F91" w14:textId="6917E298" w:rsidR="00FA69E3" w:rsidRP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1. Izrada preliminarne analize</w:t>
            </w:r>
            <w:r w:rsidR="00C966E3" w:rsidRPr="00C966E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</w:t>
            </w:r>
            <w:r w:rsidR="00C966E3" w:rsidRPr="00C966E3"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  <w:t>(stručni nadzor: Silva Kukoč, dipl. arheo., Konzervatorski odjel u Splitu; Josip Karamatić, v. d. ravnatelj Gradskog muzeja Makarska)</w:t>
            </w:r>
          </w:p>
          <w:p w14:paraId="055A27AD" w14:textId="77777777" w:rsid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  <w:t>2. Prikupljanje i obrada podataka (Državni arhiv u Splitu, Konzervatorski Odjel u Splitu, arhiv Gradskog muzeja Makarska)</w:t>
            </w:r>
          </w:p>
          <w:p w14:paraId="07A96F70" w14:textId="2D12BB81" w:rsidR="003F3E31" w:rsidRPr="00FA69E3" w:rsidRDefault="003F3E31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Asistencija u </w:t>
            </w:r>
            <w:r w:rsidRPr="00FA69E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ktivnosti:</w:t>
            </w:r>
            <w:r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Antonela Čelan, asistent</w:t>
            </w:r>
          </w:p>
          <w:p w14:paraId="0A9259E7" w14:textId="77777777" w:rsidR="00C966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i/>
                <w:i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3. Izrada digitalne mape </w:t>
            </w:r>
            <w:r w:rsidRPr="00FA69E3">
              <w:rPr>
                <w:rFonts w:ascii="Merriweather" w:eastAsia="MS Gothic" w:hAnsi="Merriweather" w:cs="Times New Roman"/>
                <w:b/>
                <w:i/>
                <w:iCs/>
                <w:sz w:val="16"/>
                <w:szCs w:val="16"/>
              </w:rPr>
              <w:t>RetroMakarska (digitalizacija baštine )</w:t>
            </w:r>
          </w:p>
          <w:p w14:paraId="6EB0BB96" w14:textId="6A02DAD7" w:rsidR="00FA69E3" w:rsidRP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Pr="00FA69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Za potrebe izrade interaktivne web karte grada Makarske koja će prikazivati povijesni kontekst prijelaza s 19. na 20. stoljeće, planira se primjena naprednih tehnoloških alata i platformi, pri čemu će se posebno koristiti Mapbox platforma za vizualizaciju kartografskih podataka.</w:t>
            </w:r>
          </w:p>
          <w:p w14:paraId="0D195BFC" w14:textId="5DE713F5" w:rsidR="00FA69E3" w:rsidRPr="00FA69E3" w:rsidRDefault="00C966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Kartiranje:</w:t>
            </w:r>
          </w:p>
          <w:p w14:paraId="20EA9B01" w14:textId="050020A6" w:rsidR="00FA69E3" w:rsidRP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Povijesn</w:t>
            </w:r>
            <w:r w:rsidR="00C966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</w:t>
            </w:r>
            <w:r w:rsidRPr="00FA69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slojev</w:t>
            </w:r>
            <w:r w:rsidR="00C966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</w:t>
            </w:r>
            <w:r w:rsidRPr="00FA69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Rekonstrukciju urbanističkog izgleda Makarske u navedenom razdoblju, temeljenu na analizi dostupnih povijesnih izvora, uključujući stare karte, arhivsku dokumentaciju, fotografije i literaturu.</w:t>
            </w:r>
          </w:p>
          <w:p w14:paraId="634941A3" w14:textId="77777777" w:rsidR="00FA69E3" w:rsidRP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lastRenderedPageBreak/>
              <w:t>Georeferenciranje – Povijesne karte bit će georeferencirane kako bi se precizno prilagodile modernim geografskim koordinatama, čime će se omogućiti njihova integracija s interaktivnim alatima.</w:t>
            </w:r>
          </w:p>
          <w:p w14:paraId="0C6806F9" w14:textId="77777777" w:rsidR="00FA69E3" w:rsidRPr="00FA69E3" w:rsidRDefault="00FA69E3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Interaktivne funkcionalnosti – Uključivanje slojeva s informacijama poput urbanističkih promjena, ključnih građevina, javnih prostora i infrastrukture. Korisnici će moći pregledavati informacije kroz interaktivne opise, vremenske osi i multimedijalne dodatke.</w:t>
            </w:r>
          </w:p>
          <w:p w14:paraId="0DE0427F" w14:textId="256C4110" w:rsidR="00FA69E3" w:rsidRPr="00FA69E3" w:rsidRDefault="003F3E31" w:rsidP="00FA69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Asistencija u </w:t>
            </w:r>
            <w:r w:rsidR="00FA69E3" w:rsidRPr="00FA69E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ktivnosti: Dora Štublin, asistent</w:t>
            </w:r>
          </w:p>
          <w:p w14:paraId="6E3A408E" w14:textId="2F1F3562" w:rsidR="00FC2198" w:rsidRPr="00FA69E3" w:rsidRDefault="00FA69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</w:pPr>
            <w:r w:rsidRPr="00FA69E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4. Postavljanje izložbe (građanstvo i Bianca Invernizzi)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9BF8E83" w:rsidR="00FC2198" w:rsidRPr="0017531F" w:rsidRDefault="00D7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Uputnica za studentsku praksu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4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Potvrda mentorstva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5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Izvješće mentora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6B7F9D15" w:rsidR="00FC2198" w:rsidRPr="0017531F" w:rsidRDefault="00D7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Pravilnik o studentskoj praksi i nastavnim bazama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6185407D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59C03093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03E00A0" w:rsidR="00FC2198" w:rsidRPr="0017531F" w:rsidRDefault="00C966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Izvršena konzervatorska praksa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67E31CC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8363" w14:textId="77777777" w:rsidR="00084ADA" w:rsidRDefault="00084ADA" w:rsidP="009947BA">
      <w:pPr>
        <w:spacing w:before="0" w:after="0"/>
      </w:pPr>
      <w:r>
        <w:separator/>
      </w:r>
    </w:p>
  </w:endnote>
  <w:endnote w:type="continuationSeparator" w:id="0">
    <w:p w14:paraId="19447250" w14:textId="77777777" w:rsidR="00084ADA" w:rsidRDefault="00084AD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845C4" w14:textId="77777777" w:rsidR="00084ADA" w:rsidRDefault="00084ADA" w:rsidP="009947BA">
      <w:pPr>
        <w:spacing w:before="0" w:after="0"/>
      </w:pPr>
      <w:r>
        <w:separator/>
      </w:r>
    </w:p>
  </w:footnote>
  <w:footnote w:type="continuationSeparator" w:id="0">
    <w:p w14:paraId="4287DB38" w14:textId="77777777" w:rsidR="00084ADA" w:rsidRDefault="00084AD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1"/>
  </w:num>
  <w:num w:numId="2" w16cid:durableId="5396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4AD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50CF2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C4ACB"/>
    <w:rsid w:val="003D7529"/>
    <w:rsid w:val="003F11B6"/>
    <w:rsid w:val="003F17B8"/>
    <w:rsid w:val="003F3E31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6F408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55A47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1272"/>
    <w:rsid w:val="00AD23FB"/>
    <w:rsid w:val="00B71A57"/>
    <w:rsid w:val="00B7307A"/>
    <w:rsid w:val="00C02454"/>
    <w:rsid w:val="00C3477B"/>
    <w:rsid w:val="00C85956"/>
    <w:rsid w:val="00C966E3"/>
    <w:rsid w:val="00C9733D"/>
    <w:rsid w:val="00CA3783"/>
    <w:rsid w:val="00CB23F4"/>
    <w:rsid w:val="00CC7BC4"/>
    <w:rsid w:val="00D136E4"/>
    <w:rsid w:val="00D5334D"/>
    <w:rsid w:val="00D5523D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69E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m.unizd.hr/Portals/11/DOKUMENTI/Uputnica%20za%20studentsku%20praksu.docx?ver=mQbNTIZ5k3DLRkbSS-IVQQ%3d%3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m.unizd.hr/Portals/11/DOKUMENTI/Pravilnik%20o%20studentskoj%20praksi%20i%20nastavnim%20bazama%20Sveu%C4%8Dili%C5%A1ta%20u%20Zadru_19-02-2024.pdf?ver=e0_gSuu717OClcnSLMRESg%3d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zd.hr/studiji-i-studenti/akademski-kalenda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Portals/11/DOKUMENTI/Izvje%C5%A1%C4%87e%20o%20obavljenoj%20studentskoj%20praksi.docx?ver=Ip7fP8KAOh894eWlAcncfA%3d%3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Portals/11/DOKUMENTI/Obrazac%20potvrde%20za%20mentorstvo%20studentske%20prakse.docx?ver=mQbNTIZ5k3DLRkbSS-IVQQ%3d%3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Dora Štublin</cp:lastModifiedBy>
  <cp:revision>4</cp:revision>
  <cp:lastPrinted>2021-02-12T11:27:00Z</cp:lastPrinted>
  <dcterms:created xsi:type="dcterms:W3CDTF">2024-12-07T18:38:00Z</dcterms:created>
  <dcterms:modified xsi:type="dcterms:W3CDTF">2024-12-07T19:12:00Z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